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E752" w14:textId="77777777" w:rsidR="00D042F2" w:rsidRPr="008A445E" w:rsidRDefault="00D042F2" w:rsidP="006453B2">
      <w:pPr>
        <w:spacing w:after="0"/>
        <w:jc w:val="center"/>
        <w:outlineLvl w:val="0"/>
        <w:rPr>
          <w:rFonts w:ascii="Arial" w:hAnsi="Arial" w:cs="Arial"/>
          <w:b/>
          <w:bCs/>
          <w:lang w:val="en-GB"/>
        </w:rPr>
      </w:pPr>
      <w:r w:rsidRPr="008A445E">
        <w:rPr>
          <w:rFonts w:ascii="Arial" w:hAnsi="Arial" w:cs="Arial"/>
          <w:b/>
          <w:bCs/>
          <w:lang w:val="en-GB"/>
        </w:rPr>
        <w:t>German Financial Cooperation with the „Western Balkan Six Chamber Investment Forum” (WB6-CIF)</w:t>
      </w:r>
    </w:p>
    <w:p w14:paraId="4148611A" w14:textId="230A696B" w:rsidR="001176BF" w:rsidRPr="008A445E" w:rsidRDefault="00DD3BF4" w:rsidP="00B05D7D">
      <w:pPr>
        <w:spacing w:after="0"/>
        <w:jc w:val="center"/>
        <w:outlineLvl w:val="0"/>
        <w:rPr>
          <w:rFonts w:ascii="Arial" w:hAnsi="Arial" w:cs="Arial"/>
          <w:b/>
          <w:bCs/>
          <w:lang w:val="en-GB"/>
        </w:rPr>
      </w:pPr>
      <w:r w:rsidRPr="008A445E">
        <w:rPr>
          <w:rFonts w:ascii="Arial" w:hAnsi="Arial" w:cs="Arial"/>
          <w:b/>
          <w:bCs/>
          <w:lang w:val="en-GB"/>
        </w:rPr>
        <w:t>Regional Challenge Fund Project</w:t>
      </w:r>
    </w:p>
    <w:p w14:paraId="617AEFBB" w14:textId="66BE272A" w:rsidR="00B05D7D" w:rsidRPr="008A445E" w:rsidRDefault="00B05D7D" w:rsidP="00B05D7D">
      <w:pPr>
        <w:spacing w:after="0"/>
        <w:jc w:val="center"/>
        <w:outlineLvl w:val="0"/>
        <w:rPr>
          <w:rFonts w:ascii="Arial" w:hAnsi="Arial" w:cs="Arial"/>
          <w:b/>
          <w:bCs/>
          <w:lang w:val="en-GB"/>
        </w:rPr>
      </w:pPr>
    </w:p>
    <w:p w14:paraId="443E5EB2" w14:textId="77777777" w:rsidR="007E2A3D" w:rsidRDefault="007E2A3D" w:rsidP="007E2A3D">
      <w:pPr>
        <w:spacing w:after="0"/>
        <w:jc w:val="center"/>
        <w:outlineLvl w:val="0"/>
        <w:rPr>
          <w:rFonts w:ascii="Arial" w:hAnsi="Arial" w:cs="Arial"/>
          <w:lang w:val="en-GB"/>
        </w:rPr>
      </w:pPr>
      <w:r w:rsidRPr="008A445E">
        <w:rPr>
          <w:rFonts w:ascii="Arial" w:hAnsi="Arial" w:cs="Arial"/>
          <w:lang w:val="en-GB"/>
        </w:rPr>
        <w:t>Europe (non-EU), Bosnia and Herzegovina (BIH)</w:t>
      </w:r>
    </w:p>
    <w:p w14:paraId="30CB3E1C" w14:textId="77777777" w:rsidR="008A445E" w:rsidRPr="008A445E" w:rsidRDefault="008A445E" w:rsidP="007E2A3D">
      <w:pPr>
        <w:spacing w:after="0"/>
        <w:jc w:val="center"/>
        <w:outlineLvl w:val="0"/>
        <w:rPr>
          <w:rFonts w:ascii="Arial" w:hAnsi="Arial" w:cs="Arial"/>
          <w:lang w:val="en-GB"/>
        </w:rPr>
      </w:pPr>
    </w:p>
    <w:p w14:paraId="27C3A443" w14:textId="77777777" w:rsidR="007E2A3D" w:rsidRPr="008A445E" w:rsidRDefault="007E2A3D" w:rsidP="007E2A3D">
      <w:pPr>
        <w:pStyle w:val="Default"/>
        <w:jc w:val="center"/>
        <w:rPr>
          <w:rFonts w:ascii="Arial" w:eastAsia="Times New Roman" w:hAnsi="Arial" w:cs="Arial"/>
          <w:color w:val="auto"/>
          <w:sz w:val="22"/>
          <w:szCs w:val="22"/>
        </w:rPr>
      </w:pPr>
      <w:r w:rsidRPr="008A445E">
        <w:rPr>
          <w:rFonts w:ascii="Arial" w:eastAsia="Times New Roman" w:hAnsi="Arial" w:cs="Arial"/>
          <w:color w:val="auto"/>
          <w:sz w:val="22"/>
          <w:szCs w:val="22"/>
        </w:rPr>
        <w:t xml:space="preserve">Reference number: </w:t>
      </w:r>
      <w:r w:rsidRPr="008A445E">
        <w:rPr>
          <w:rStyle w:val="Emphasis"/>
          <w:rFonts w:ascii="Arial" w:hAnsi="Arial" w:cs="Arial"/>
          <w:b/>
          <w:bCs/>
          <w:i w:val="0"/>
          <w:sz w:val="22"/>
          <w:szCs w:val="22"/>
        </w:rPr>
        <w:t>RCF/BIH/G/2023/004/A-relaunch</w:t>
      </w:r>
    </w:p>
    <w:p w14:paraId="27F15CE9" w14:textId="77777777" w:rsidR="00F05541" w:rsidRPr="008A445E" w:rsidRDefault="00F05541" w:rsidP="00B05D7D">
      <w:pPr>
        <w:spacing w:after="0"/>
        <w:jc w:val="center"/>
        <w:outlineLvl w:val="0"/>
        <w:rPr>
          <w:rFonts w:ascii="Arial" w:hAnsi="Arial" w:cs="Arial"/>
          <w:b/>
          <w:bCs/>
          <w:lang w:val="en-GB"/>
        </w:rPr>
      </w:pPr>
    </w:p>
    <w:p w14:paraId="1AC863F3" w14:textId="3453EE39" w:rsidR="00C87504" w:rsidRPr="008A445E" w:rsidRDefault="009D502E" w:rsidP="00F50247">
      <w:pPr>
        <w:spacing w:after="0"/>
        <w:jc w:val="center"/>
        <w:outlineLvl w:val="0"/>
        <w:rPr>
          <w:rFonts w:ascii="Arial" w:eastAsia="Calibri" w:hAnsi="Arial" w:cs="Arial"/>
          <w:color w:val="000000"/>
          <w:lang w:val="en-GB"/>
        </w:rPr>
      </w:pPr>
      <w:r w:rsidRPr="008A445E">
        <w:rPr>
          <w:rFonts w:ascii="Arial" w:hAnsi="Arial" w:cs="Arial"/>
          <w:lang w:val="en-GB"/>
        </w:rPr>
        <w:t>Supply</w:t>
      </w:r>
      <w:r w:rsidR="00EA0EDD" w:rsidRPr="008A445E">
        <w:rPr>
          <w:rFonts w:ascii="Arial" w:hAnsi="Arial" w:cs="Arial"/>
          <w:lang w:val="en-GB"/>
        </w:rPr>
        <w:t xml:space="preserve"> Tender</w:t>
      </w:r>
      <w:r w:rsidR="006453B2" w:rsidRPr="008A445E">
        <w:rPr>
          <w:rFonts w:ascii="Arial" w:hAnsi="Arial" w:cs="Arial"/>
          <w:lang w:val="en-GB"/>
        </w:rPr>
        <w:t xml:space="preserve"> </w:t>
      </w:r>
      <w:r w:rsidR="006453B2" w:rsidRPr="008A445E">
        <w:rPr>
          <w:rFonts w:ascii="Arial" w:hAnsi="Arial" w:cs="Arial"/>
          <w:b/>
          <w:bCs/>
          <w:lang w:val="en-GB"/>
        </w:rPr>
        <w:t>„</w:t>
      </w:r>
      <w:r w:rsidR="00F50247" w:rsidRPr="008A445E">
        <w:rPr>
          <w:rFonts w:ascii="Arial" w:eastAsia="Calibri" w:hAnsi="Arial" w:cs="Arial"/>
          <w:b/>
          <w:bCs/>
          <w:color w:val="000000"/>
          <w:lang w:val="en-GB"/>
        </w:rPr>
        <w:t xml:space="preserve">Procurement of IT equipment and Document management software </w:t>
      </w:r>
      <w:r w:rsidR="004D5D73" w:rsidRPr="008A445E">
        <w:rPr>
          <w:rFonts w:ascii="Arial" w:hAnsi="Arial" w:cs="Arial"/>
          <w:b/>
          <w:bCs/>
          <w:lang w:val="en-GB"/>
        </w:rPr>
        <w:t>“</w:t>
      </w:r>
    </w:p>
    <w:p w14:paraId="607C8264" w14:textId="5FD840DF" w:rsidR="00A866BB" w:rsidRPr="008A445E" w:rsidRDefault="008A445E" w:rsidP="006453B2">
      <w:pPr>
        <w:pStyle w:val="Default"/>
        <w:jc w:val="center"/>
        <w:rPr>
          <w:rStyle w:val="Emphasis"/>
          <w:rFonts w:ascii="Arial" w:hAnsi="Arial" w:cs="Arial"/>
          <w:i w:val="0"/>
          <w:sz w:val="22"/>
          <w:szCs w:val="22"/>
        </w:rPr>
      </w:pPr>
      <w:r>
        <w:rPr>
          <w:rStyle w:val="Emphasis"/>
          <w:rFonts w:ascii="Arial" w:hAnsi="Arial" w:cs="Arial"/>
          <w:i w:val="0"/>
          <w:sz w:val="22"/>
          <w:szCs w:val="22"/>
        </w:rPr>
        <w:t>(</w:t>
      </w:r>
      <w:r w:rsidRPr="008A445E">
        <w:rPr>
          <w:rStyle w:val="Emphasis"/>
          <w:rFonts w:ascii="Arial" w:hAnsi="Arial" w:cs="Arial"/>
          <w:i w:val="0"/>
          <w:sz w:val="22"/>
          <w:szCs w:val="22"/>
        </w:rPr>
        <w:t>PI High School Centre ''</w:t>
      </w:r>
      <w:proofErr w:type="spellStart"/>
      <w:r w:rsidRPr="008A445E">
        <w:rPr>
          <w:rStyle w:val="Emphasis"/>
          <w:rFonts w:ascii="Arial" w:hAnsi="Arial" w:cs="Arial"/>
          <w:i w:val="0"/>
          <w:sz w:val="22"/>
          <w:szCs w:val="22"/>
        </w:rPr>
        <w:t>Nedžad</w:t>
      </w:r>
      <w:proofErr w:type="spellEnd"/>
      <w:r w:rsidRPr="008A445E">
        <w:rPr>
          <w:rStyle w:val="Emphasis"/>
          <w:rFonts w:ascii="Arial" w:hAnsi="Arial" w:cs="Arial"/>
          <w:i w:val="0"/>
          <w:sz w:val="22"/>
          <w:szCs w:val="22"/>
        </w:rPr>
        <w:t xml:space="preserve"> Ibrišimović'' Ilijaš</w:t>
      </w:r>
      <w:r>
        <w:rPr>
          <w:rStyle w:val="Emphasis"/>
          <w:rFonts w:ascii="Arial" w:hAnsi="Arial" w:cs="Arial"/>
          <w:i w:val="0"/>
          <w:sz w:val="22"/>
          <w:szCs w:val="22"/>
        </w:rPr>
        <w:t>)</w:t>
      </w:r>
    </w:p>
    <w:p w14:paraId="27878736" w14:textId="77777777" w:rsidR="008A445E" w:rsidRPr="008A445E" w:rsidRDefault="008A445E" w:rsidP="006453B2">
      <w:pPr>
        <w:pStyle w:val="Default"/>
        <w:jc w:val="center"/>
        <w:rPr>
          <w:rFonts w:ascii="Arial" w:eastAsia="Times New Roman" w:hAnsi="Arial" w:cs="Arial"/>
          <w:color w:val="auto"/>
          <w:sz w:val="22"/>
          <w:szCs w:val="22"/>
        </w:rPr>
      </w:pPr>
    </w:p>
    <w:p w14:paraId="204675CA" w14:textId="54A9D462" w:rsidR="006453B2" w:rsidRPr="008A445E" w:rsidRDefault="006453B2" w:rsidP="006453B2">
      <w:pPr>
        <w:pStyle w:val="Default"/>
        <w:jc w:val="center"/>
        <w:rPr>
          <w:rFonts w:ascii="Arial" w:hAnsi="Arial" w:cs="Arial"/>
          <w:sz w:val="22"/>
          <w:szCs w:val="22"/>
        </w:rPr>
      </w:pPr>
      <w:r w:rsidRPr="008A445E">
        <w:rPr>
          <w:rFonts w:ascii="Arial" w:hAnsi="Arial" w:cs="Arial"/>
          <w:color w:val="auto"/>
          <w:sz w:val="22"/>
          <w:szCs w:val="22"/>
        </w:rPr>
        <w:t xml:space="preserve">The </w:t>
      </w:r>
      <w:r w:rsidR="008A445E">
        <w:rPr>
          <w:rFonts w:ascii="Arial" w:hAnsi="Arial" w:cs="Arial"/>
          <w:color w:val="auto"/>
          <w:sz w:val="22"/>
          <w:szCs w:val="22"/>
        </w:rPr>
        <w:t>a</w:t>
      </w:r>
      <w:r w:rsidRPr="008A445E">
        <w:rPr>
          <w:rFonts w:ascii="Arial" w:hAnsi="Arial" w:cs="Arial"/>
          <w:color w:val="auto"/>
          <w:sz w:val="22"/>
          <w:szCs w:val="22"/>
        </w:rPr>
        <w:t xml:space="preserve">nswers </w:t>
      </w:r>
      <w:r w:rsidR="009520ED" w:rsidRPr="008A445E">
        <w:rPr>
          <w:rFonts w:ascii="Arial" w:hAnsi="Arial" w:cs="Arial"/>
          <w:color w:val="auto"/>
          <w:sz w:val="22"/>
          <w:szCs w:val="22"/>
        </w:rPr>
        <w:t>to</w:t>
      </w:r>
      <w:r w:rsidRPr="008A445E">
        <w:rPr>
          <w:rFonts w:ascii="Arial" w:hAnsi="Arial" w:cs="Arial"/>
          <w:color w:val="auto"/>
          <w:sz w:val="22"/>
          <w:szCs w:val="22"/>
        </w:rPr>
        <w:t xml:space="preserve"> </w:t>
      </w:r>
      <w:r w:rsidR="00BF12D4" w:rsidRPr="008A445E">
        <w:rPr>
          <w:rFonts w:ascii="Arial" w:hAnsi="Arial" w:cs="Arial"/>
          <w:color w:val="auto"/>
          <w:sz w:val="22"/>
          <w:szCs w:val="22"/>
        </w:rPr>
        <w:t xml:space="preserve">the </w:t>
      </w:r>
      <w:r w:rsidR="00BF12D4" w:rsidRPr="00E8595D">
        <w:rPr>
          <w:rFonts w:ascii="Arial" w:hAnsi="Arial" w:cs="Arial"/>
          <w:b/>
          <w:bCs/>
          <w:color w:val="auto"/>
          <w:sz w:val="22"/>
          <w:szCs w:val="22"/>
        </w:rPr>
        <w:t>R</w:t>
      </w:r>
      <w:r w:rsidRPr="00E8595D">
        <w:rPr>
          <w:rFonts w:ascii="Arial" w:hAnsi="Arial" w:cs="Arial"/>
          <w:b/>
          <w:bCs/>
          <w:color w:val="auto"/>
          <w:sz w:val="22"/>
          <w:szCs w:val="22"/>
        </w:rPr>
        <w:t xml:space="preserve">equests for </w:t>
      </w:r>
      <w:r w:rsidR="00BF12D4" w:rsidRPr="00E8595D">
        <w:rPr>
          <w:rFonts w:ascii="Arial" w:hAnsi="Arial" w:cs="Arial"/>
          <w:b/>
          <w:bCs/>
          <w:color w:val="auto"/>
          <w:sz w:val="22"/>
          <w:szCs w:val="22"/>
        </w:rPr>
        <w:t>C</w:t>
      </w:r>
      <w:r w:rsidRPr="00E8595D">
        <w:rPr>
          <w:rFonts w:ascii="Arial" w:hAnsi="Arial" w:cs="Arial"/>
          <w:b/>
          <w:bCs/>
          <w:color w:val="auto"/>
          <w:sz w:val="22"/>
          <w:szCs w:val="22"/>
        </w:rPr>
        <w:t>larifications</w:t>
      </w:r>
      <w:r w:rsidR="00BF12D4" w:rsidRPr="00E8595D">
        <w:rPr>
          <w:rFonts w:ascii="Arial" w:hAnsi="Arial" w:cs="Arial"/>
          <w:b/>
          <w:bCs/>
          <w:color w:val="auto"/>
          <w:sz w:val="22"/>
          <w:szCs w:val="22"/>
        </w:rPr>
        <w:t xml:space="preserve"> to the Tender Document</w:t>
      </w:r>
      <w:r w:rsidR="00CB0FEE" w:rsidRPr="00E8595D">
        <w:rPr>
          <w:rFonts w:ascii="Arial" w:hAnsi="Arial" w:cs="Arial"/>
          <w:b/>
          <w:bCs/>
          <w:color w:val="auto"/>
          <w:sz w:val="22"/>
          <w:szCs w:val="22"/>
        </w:rPr>
        <w:t>#1</w:t>
      </w:r>
      <w:r w:rsidR="00BF12D4" w:rsidRPr="008A445E">
        <w:rPr>
          <w:rFonts w:ascii="Arial" w:hAnsi="Arial" w:cs="Arial"/>
          <w:color w:val="auto"/>
          <w:sz w:val="22"/>
          <w:szCs w:val="22"/>
        </w:rPr>
        <w:t>,</w:t>
      </w:r>
      <w:r w:rsidRPr="008A445E">
        <w:rPr>
          <w:rFonts w:ascii="Arial" w:hAnsi="Arial" w:cs="Arial"/>
          <w:color w:val="auto"/>
          <w:sz w:val="22"/>
          <w:szCs w:val="22"/>
        </w:rPr>
        <w:t xml:space="preserve"> received by the potential </w:t>
      </w:r>
      <w:r w:rsidR="009520ED" w:rsidRPr="008A445E">
        <w:rPr>
          <w:rFonts w:ascii="Arial" w:hAnsi="Arial" w:cs="Arial"/>
          <w:color w:val="auto"/>
          <w:sz w:val="22"/>
          <w:szCs w:val="22"/>
        </w:rPr>
        <w:t>bidders</w:t>
      </w:r>
      <w:r w:rsidRPr="008A445E">
        <w:rPr>
          <w:rFonts w:ascii="Arial" w:hAnsi="Arial" w:cs="Arial"/>
          <w:color w:val="auto"/>
          <w:sz w:val="22"/>
          <w:szCs w:val="22"/>
        </w:rPr>
        <w:t xml:space="preserve"> </w:t>
      </w:r>
      <w:r w:rsidR="009520ED" w:rsidRPr="008A445E">
        <w:rPr>
          <w:rFonts w:ascii="Arial" w:hAnsi="Arial" w:cs="Arial"/>
          <w:color w:val="auto"/>
          <w:sz w:val="22"/>
          <w:szCs w:val="22"/>
        </w:rPr>
        <w:t>to</w:t>
      </w:r>
      <w:r w:rsidRPr="008A445E">
        <w:rPr>
          <w:rFonts w:ascii="Arial" w:hAnsi="Arial" w:cs="Arial"/>
          <w:color w:val="auto"/>
          <w:sz w:val="22"/>
          <w:szCs w:val="22"/>
        </w:rPr>
        <w:t xml:space="preserve"> the following e-mail address: </w:t>
      </w:r>
      <w:hyperlink r:id="rId6" w:history="1">
        <w:r w:rsidR="00A15DFF" w:rsidRPr="008A445E">
          <w:rPr>
            <w:rStyle w:val="Hyperlink"/>
            <w:rFonts w:ascii="Arial" w:hAnsi="Arial" w:cs="Arial"/>
            <w:sz w:val="22"/>
            <w:szCs w:val="22"/>
          </w:rPr>
          <w:t>procurement@rcf-wb6.org</w:t>
        </w:r>
      </w:hyperlink>
      <w:r w:rsidR="00A15DFF" w:rsidRPr="008A445E">
        <w:rPr>
          <w:rFonts w:ascii="Arial" w:hAnsi="Arial" w:cs="Arial"/>
          <w:sz w:val="22"/>
          <w:szCs w:val="22"/>
        </w:rPr>
        <w:t xml:space="preserve"> </w:t>
      </w:r>
    </w:p>
    <w:p w14:paraId="0DFB30A6" w14:textId="3AA3384B" w:rsidR="00BF12D4" w:rsidRPr="008A445E" w:rsidRDefault="00BF12D4" w:rsidP="00EB2B0C">
      <w:pPr>
        <w:pStyle w:val="Default"/>
        <w:rPr>
          <w:rFonts w:ascii="Arial" w:hAnsi="Arial" w:cs="Arial"/>
          <w:sz w:val="22"/>
          <w:szCs w:val="22"/>
        </w:rPr>
      </w:pPr>
    </w:p>
    <w:p w14:paraId="474C0CD7" w14:textId="77777777" w:rsidR="00BF12D4" w:rsidRPr="008A445E" w:rsidRDefault="00BF12D4" w:rsidP="00EB2B0C">
      <w:pPr>
        <w:pStyle w:val="Default"/>
        <w:rPr>
          <w:rFonts w:ascii="Arial" w:hAnsi="Arial" w:cs="Arial"/>
          <w:sz w:val="22"/>
          <w:szCs w:val="22"/>
        </w:rPr>
      </w:pPr>
    </w:p>
    <w:tbl>
      <w:tblPr>
        <w:tblStyle w:val="TableGrid"/>
        <w:tblW w:w="0" w:type="auto"/>
        <w:tblLook w:val="04A0" w:firstRow="1" w:lastRow="0" w:firstColumn="1" w:lastColumn="0" w:noHBand="0" w:noVBand="1"/>
      </w:tblPr>
      <w:tblGrid>
        <w:gridCol w:w="535"/>
        <w:gridCol w:w="8481"/>
      </w:tblGrid>
      <w:tr w:rsidR="00BF12D4" w:rsidRPr="008A445E" w14:paraId="36FAB7CB" w14:textId="77777777" w:rsidTr="009A675E">
        <w:tc>
          <w:tcPr>
            <w:tcW w:w="535" w:type="dxa"/>
            <w:shd w:val="clear" w:color="auto" w:fill="D9D9D9" w:themeFill="background1" w:themeFillShade="D9"/>
            <w:vAlign w:val="center"/>
          </w:tcPr>
          <w:p w14:paraId="53959D33" w14:textId="3349BF33" w:rsidR="00BF12D4" w:rsidRPr="008A445E" w:rsidRDefault="00BF12D4" w:rsidP="00BF12D4">
            <w:pPr>
              <w:pStyle w:val="Default"/>
              <w:spacing w:before="60" w:after="60"/>
              <w:jc w:val="center"/>
              <w:rPr>
                <w:rFonts w:ascii="Arial" w:hAnsi="Arial" w:cs="Arial"/>
                <w:sz w:val="22"/>
                <w:szCs w:val="22"/>
              </w:rPr>
            </w:pPr>
            <w:r w:rsidRPr="008A445E">
              <w:rPr>
                <w:rFonts w:ascii="Arial" w:hAnsi="Arial" w:cs="Arial"/>
                <w:sz w:val="22"/>
                <w:szCs w:val="22"/>
              </w:rPr>
              <w:t>Q1</w:t>
            </w:r>
          </w:p>
        </w:tc>
        <w:tc>
          <w:tcPr>
            <w:tcW w:w="8481" w:type="dxa"/>
            <w:shd w:val="clear" w:color="auto" w:fill="D9D9D9" w:themeFill="background1" w:themeFillShade="D9"/>
          </w:tcPr>
          <w:p w14:paraId="2DBC9707" w14:textId="73A0793B" w:rsidR="00BF12D4" w:rsidRPr="008A445E" w:rsidRDefault="00BF12D4" w:rsidP="009A675E">
            <w:pPr>
              <w:pStyle w:val="Default"/>
              <w:spacing w:before="60" w:after="60"/>
              <w:jc w:val="both"/>
              <w:rPr>
                <w:rFonts w:ascii="Arial" w:hAnsi="Arial" w:cs="Arial"/>
                <w:sz w:val="22"/>
                <w:szCs w:val="22"/>
              </w:rPr>
            </w:pPr>
            <w:r w:rsidRPr="008A445E">
              <w:rPr>
                <w:rFonts w:ascii="Arial" w:hAnsi="Arial" w:cs="Arial"/>
                <w:sz w:val="22"/>
                <w:szCs w:val="22"/>
              </w:rPr>
              <w:t>In the document Annex 1 – Technical Specifications Ilijas, under the Item number 3. (Server Tower), the specification for the Power supply states “Power: 2x fixed 80 PLUS power supply up to Platinum efficiency; 250W or 400W;” is the requirement for redundant (2x fixed) power supply a mistake in the specification as the devices that are best compatible with the other listed specifications do not have an option for redundant (2x fixed) power supplies? Or is the redundant power supply (2x fixed) what is being required by the Purchaser?</w:t>
            </w:r>
          </w:p>
        </w:tc>
      </w:tr>
      <w:tr w:rsidR="00BF12D4" w:rsidRPr="008A445E" w14:paraId="25C57890" w14:textId="77777777" w:rsidTr="009A675E">
        <w:tc>
          <w:tcPr>
            <w:tcW w:w="535" w:type="dxa"/>
            <w:vAlign w:val="center"/>
          </w:tcPr>
          <w:p w14:paraId="4B69AED4" w14:textId="626CA758" w:rsidR="00BF12D4" w:rsidRPr="008A445E" w:rsidRDefault="00BF12D4" w:rsidP="00BF12D4">
            <w:pPr>
              <w:pStyle w:val="Default"/>
              <w:spacing w:before="60" w:after="60"/>
              <w:jc w:val="center"/>
              <w:rPr>
                <w:rFonts w:ascii="Arial" w:hAnsi="Arial" w:cs="Arial"/>
                <w:sz w:val="22"/>
                <w:szCs w:val="22"/>
              </w:rPr>
            </w:pPr>
            <w:r w:rsidRPr="008A445E">
              <w:rPr>
                <w:rFonts w:ascii="Arial" w:hAnsi="Arial" w:cs="Arial"/>
                <w:sz w:val="22"/>
                <w:szCs w:val="22"/>
              </w:rPr>
              <w:t>A1</w:t>
            </w:r>
          </w:p>
        </w:tc>
        <w:tc>
          <w:tcPr>
            <w:tcW w:w="8481" w:type="dxa"/>
          </w:tcPr>
          <w:p w14:paraId="202F9C2B" w14:textId="4585EBBD" w:rsidR="007C50BC" w:rsidRDefault="007C50BC" w:rsidP="009A675E">
            <w:pPr>
              <w:pStyle w:val="Default"/>
              <w:spacing w:before="60" w:after="60"/>
              <w:jc w:val="both"/>
              <w:rPr>
                <w:rFonts w:ascii="Arial" w:hAnsi="Arial" w:cs="Arial"/>
                <w:sz w:val="22"/>
                <w:szCs w:val="22"/>
              </w:rPr>
            </w:pPr>
            <w:r>
              <w:rPr>
                <w:rFonts w:ascii="Arial" w:hAnsi="Arial" w:cs="Arial"/>
                <w:sz w:val="22"/>
                <w:szCs w:val="22"/>
              </w:rPr>
              <w:t xml:space="preserve">The redundant power supply is </w:t>
            </w:r>
            <w:r w:rsidR="00673CEF" w:rsidRPr="00673CEF">
              <w:rPr>
                <w:rFonts w:ascii="Arial" w:hAnsi="Arial" w:cs="Arial"/>
                <w:sz w:val="22"/>
                <w:szCs w:val="22"/>
              </w:rPr>
              <w:t>mandatory</w:t>
            </w:r>
            <w:r w:rsidR="00673CEF">
              <w:rPr>
                <w:rFonts w:ascii="Arial" w:hAnsi="Arial" w:cs="Arial"/>
                <w:sz w:val="22"/>
                <w:szCs w:val="22"/>
              </w:rPr>
              <w:t xml:space="preserve"> for the server item.</w:t>
            </w:r>
          </w:p>
          <w:p w14:paraId="3064CAD1" w14:textId="4F20FF4B" w:rsidR="00BF12D4" w:rsidRPr="008A445E" w:rsidRDefault="009A675E" w:rsidP="009A675E">
            <w:pPr>
              <w:pStyle w:val="Default"/>
              <w:spacing w:before="60" w:after="60"/>
              <w:jc w:val="both"/>
              <w:rPr>
                <w:rFonts w:ascii="Arial" w:hAnsi="Arial" w:cs="Arial"/>
                <w:sz w:val="22"/>
                <w:szCs w:val="22"/>
              </w:rPr>
            </w:pPr>
            <w:r>
              <w:rPr>
                <w:rFonts w:ascii="Arial" w:hAnsi="Arial" w:cs="Arial"/>
                <w:sz w:val="22"/>
                <w:szCs w:val="22"/>
              </w:rPr>
              <w:t>If the</w:t>
            </w:r>
            <w:r w:rsidR="007C50BC">
              <w:rPr>
                <w:rFonts w:ascii="Arial" w:hAnsi="Arial" w:cs="Arial"/>
                <w:sz w:val="22"/>
                <w:szCs w:val="22"/>
              </w:rPr>
              <w:t xml:space="preserve"> supplier has an option to offer a server with redundant power supply, be it in a Server tower or in a Rack mount option</w:t>
            </w:r>
            <w:r w:rsidR="000268E7">
              <w:rPr>
                <w:rFonts w:ascii="Arial" w:hAnsi="Arial" w:cs="Arial"/>
                <w:sz w:val="22"/>
                <w:szCs w:val="22"/>
              </w:rPr>
              <w:t xml:space="preserve"> with slightly different configuration</w:t>
            </w:r>
            <w:r w:rsidR="007C50BC">
              <w:rPr>
                <w:rFonts w:ascii="Arial" w:hAnsi="Arial" w:cs="Arial"/>
                <w:sz w:val="22"/>
                <w:szCs w:val="22"/>
              </w:rPr>
              <w:t xml:space="preserve"> without affecting the</w:t>
            </w:r>
            <w:r w:rsidR="000268E7">
              <w:rPr>
                <w:rFonts w:ascii="Arial" w:hAnsi="Arial" w:cs="Arial"/>
                <w:sz w:val="22"/>
                <w:szCs w:val="22"/>
              </w:rPr>
              <w:t xml:space="preserve"> overall performance</w:t>
            </w:r>
            <w:r w:rsidR="007C50BC">
              <w:rPr>
                <w:rFonts w:ascii="Arial" w:hAnsi="Arial" w:cs="Arial"/>
                <w:sz w:val="22"/>
                <w:szCs w:val="22"/>
              </w:rPr>
              <w:t xml:space="preserve"> </w:t>
            </w:r>
            <w:r w:rsidR="000268E7">
              <w:rPr>
                <w:rFonts w:ascii="Arial" w:hAnsi="Arial" w:cs="Arial"/>
                <w:sz w:val="22"/>
                <w:szCs w:val="22"/>
              </w:rPr>
              <w:t>of the server they can do it.</w:t>
            </w:r>
          </w:p>
        </w:tc>
      </w:tr>
      <w:tr w:rsidR="00BF12D4" w:rsidRPr="008A445E" w14:paraId="4CF9770B" w14:textId="77777777" w:rsidTr="009A675E">
        <w:tc>
          <w:tcPr>
            <w:tcW w:w="535" w:type="dxa"/>
            <w:shd w:val="clear" w:color="auto" w:fill="D9D9D9" w:themeFill="background1" w:themeFillShade="D9"/>
            <w:vAlign w:val="center"/>
          </w:tcPr>
          <w:p w14:paraId="23AEEE7A" w14:textId="0283A2F5" w:rsidR="00BF12D4" w:rsidRPr="008A445E" w:rsidRDefault="00BF12D4" w:rsidP="00BF12D4">
            <w:pPr>
              <w:pStyle w:val="Default"/>
              <w:spacing w:before="60" w:after="60"/>
              <w:jc w:val="center"/>
              <w:rPr>
                <w:rFonts w:ascii="Arial" w:hAnsi="Arial" w:cs="Arial"/>
                <w:sz w:val="22"/>
                <w:szCs w:val="22"/>
              </w:rPr>
            </w:pPr>
            <w:r w:rsidRPr="008A445E">
              <w:rPr>
                <w:rFonts w:ascii="Arial" w:hAnsi="Arial" w:cs="Arial"/>
                <w:sz w:val="22"/>
                <w:szCs w:val="22"/>
              </w:rPr>
              <w:t>Q2</w:t>
            </w:r>
          </w:p>
        </w:tc>
        <w:tc>
          <w:tcPr>
            <w:tcW w:w="8481" w:type="dxa"/>
            <w:shd w:val="clear" w:color="auto" w:fill="D9D9D9" w:themeFill="background1" w:themeFillShade="D9"/>
          </w:tcPr>
          <w:p w14:paraId="3D4C4AC1" w14:textId="77777777" w:rsidR="00BF12D4" w:rsidRPr="008A445E" w:rsidRDefault="00BF12D4" w:rsidP="009A675E">
            <w:pPr>
              <w:pStyle w:val="Default"/>
              <w:spacing w:before="60" w:after="60"/>
              <w:jc w:val="both"/>
              <w:rPr>
                <w:rFonts w:ascii="Arial" w:hAnsi="Arial" w:cs="Arial"/>
                <w:sz w:val="22"/>
                <w:szCs w:val="22"/>
              </w:rPr>
            </w:pPr>
            <w:r w:rsidRPr="008A445E">
              <w:rPr>
                <w:rFonts w:ascii="Arial" w:hAnsi="Arial" w:cs="Arial"/>
                <w:sz w:val="22"/>
                <w:szCs w:val="22"/>
              </w:rPr>
              <w:t>Desktop Computer Power Supply Specification In the tender document, under Item no. 1 concerning personal computers, there is a specification for a power supply ranging between 500-600W. However, we have observed that the top three leading computer brands (HP, Lenovo, Dell) offer configurations with power supplies typically ranging from 180 to 260 Watts, which are more than sufficient for standard configurations.</w:t>
            </w:r>
          </w:p>
          <w:p w14:paraId="08FF80B6" w14:textId="32DCA2B6" w:rsidR="00BF12D4" w:rsidRPr="008A445E" w:rsidRDefault="00BF12D4" w:rsidP="009A675E">
            <w:pPr>
              <w:pStyle w:val="Default"/>
              <w:spacing w:before="60" w:after="60"/>
              <w:jc w:val="both"/>
              <w:rPr>
                <w:rFonts w:ascii="Arial" w:hAnsi="Arial" w:cs="Arial"/>
                <w:sz w:val="22"/>
                <w:szCs w:val="22"/>
              </w:rPr>
            </w:pPr>
            <w:r w:rsidRPr="008A445E">
              <w:rPr>
                <w:rFonts w:ascii="Arial" w:hAnsi="Arial" w:cs="Arial"/>
                <w:sz w:val="22"/>
                <w:szCs w:val="22"/>
              </w:rPr>
              <w:t>We kindly request that the contracting authority consider accepting desktop computer offers with a minimum power supply of 260 Watts. We believe that a requirement of 500-600W is excessive for the configurations in question and may not align with the standard offerings of the leading manufacturers.</w:t>
            </w:r>
          </w:p>
        </w:tc>
      </w:tr>
      <w:tr w:rsidR="00BF12D4" w:rsidRPr="008A445E" w14:paraId="2630B4AD" w14:textId="77777777" w:rsidTr="009A675E">
        <w:tc>
          <w:tcPr>
            <w:tcW w:w="535" w:type="dxa"/>
            <w:vAlign w:val="center"/>
          </w:tcPr>
          <w:p w14:paraId="1958D24A" w14:textId="51063850" w:rsidR="00BF12D4" w:rsidRPr="008A445E" w:rsidRDefault="00BF12D4" w:rsidP="00BF12D4">
            <w:pPr>
              <w:pStyle w:val="Default"/>
              <w:spacing w:before="60" w:after="60"/>
              <w:jc w:val="center"/>
              <w:rPr>
                <w:rFonts w:ascii="Arial" w:hAnsi="Arial" w:cs="Arial"/>
                <w:sz w:val="22"/>
                <w:szCs w:val="22"/>
              </w:rPr>
            </w:pPr>
            <w:r w:rsidRPr="008A445E">
              <w:rPr>
                <w:rFonts w:ascii="Arial" w:hAnsi="Arial" w:cs="Arial"/>
                <w:sz w:val="22"/>
                <w:szCs w:val="22"/>
              </w:rPr>
              <w:t>A2</w:t>
            </w:r>
          </w:p>
        </w:tc>
        <w:tc>
          <w:tcPr>
            <w:tcW w:w="8481" w:type="dxa"/>
          </w:tcPr>
          <w:p w14:paraId="7F882CEE" w14:textId="2A519F6E" w:rsidR="00BF12D4" w:rsidRPr="008A445E" w:rsidRDefault="005C153E" w:rsidP="009A675E">
            <w:pPr>
              <w:pStyle w:val="Default"/>
              <w:spacing w:before="60" w:after="60"/>
              <w:jc w:val="both"/>
              <w:rPr>
                <w:rFonts w:ascii="Arial" w:hAnsi="Arial" w:cs="Arial"/>
                <w:sz w:val="22"/>
                <w:szCs w:val="22"/>
              </w:rPr>
            </w:pPr>
            <w:r w:rsidRPr="007C50BC">
              <w:rPr>
                <w:rFonts w:ascii="Arial" w:hAnsi="Arial" w:cs="Arial"/>
                <w:sz w:val="22"/>
                <w:szCs w:val="22"/>
              </w:rPr>
              <w:t>Of</w:t>
            </w:r>
            <w:r w:rsidR="008544DD" w:rsidRPr="007C50BC">
              <w:rPr>
                <w:rFonts w:ascii="Arial" w:hAnsi="Arial" w:cs="Arial"/>
                <w:sz w:val="22"/>
                <w:szCs w:val="22"/>
              </w:rPr>
              <w:t>fers with power supplies that have a minimal rating of 180-260 watts</w:t>
            </w:r>
            <w:r w:rsidRPr="007C50BC">
              <w:rPr>
                <w:rFonts w:ascii="Arial" w:hAnsi="Arial" w:cs="Arial"/>
                <w:sz w:val="22"/>
                <w:szCs w:val="22"/>
              </w:rPr>
              <w:t xml:space="preserve"> are acceptable</w:t>
            </w:r>
            <w:r w:rsidR="008544DD" w:rsidRPr="007C50BC">
              <w:rPr>
                <w:rFonts w:ascii="Arial" w:hAnsi="Arial" w:cs="Arial"/>
                <w:sz w:val="22"/>
                <w:szCs w:val="22"/>
              </w:rPr>
              <w:t>, because the power supply specification there was for the computers that are not brand name computers but configured with off the shelf part. As for the brand name computers they can have power supplies that start from 180 watts and go up.</w:t>
            </w:r>
          </w:p>
        </w:tc>
      </w:tr>
      <w:tr w:rsidR="00BF12D4" w:rsidRPr="008A445E" w14:paraId="32BEB69F" w14:textId="77777777" w:rsidTr="009A675E">
        <w:tc>
          <w:tcPr>
            <w:tcW w:w="535" w:type="dxa"/>
            <w:shd w:val="clear" w:color="auto" w:fill="F2F2F2" w:themeFill="background1" w:themeFillShade="F2"/>
            <w:vAlign w:val="center"/>
          </w:tcPr>
          <w:p w14:paraId="35902166" w14:textId="209D80CF" w:rsidR="00BF12D4" w:rsidRPr="008A445E" w:rsidRDefault="00BF12D4" w:rsidP="00BF12D4">
            <w:pPr>
              <w:pStyle w:val="Default"/>
              <w:spacing w:before="60" w:after="60"/>
              <w:jc w:val="center"/>
              <w:rPr>
                <w:rFonts w:ascii="Arial" w:hAnsi="Arial" w:cs="Arial"/>
                <w:sz w:val="22"/>
                <w:szCs w:val="22"/>
              </w:rPr>
            </w:pPr>
            <w:r w:rsidRPr="008A445E">
              <w:rPr>
                <w:rFonts w:ascii="Arial" w:hAnsi="Arial" w:cs="Arial"/>
                <w:sz w:val="22"/>
                <w:szCs w:val="22"/>
              </w:rPr>
              <w:t>Q3</w:t>
            </w:r>
          </w:p>
        </w:tc>
        <w:tc>
          <w:tcPr>
            <w:tcW w:w="8481" w:type="dxa"/>
            <w:shd w:val="clear" w:color="auto" w:fill="F2F2F2" w:themeFill="background1" w:themeFillShade="F2"/>
          </w:tcPr>
          <w:p w14:paraId="7BAD8513" w14:textId="536CE58B" w:rsidR="00BF12D4" w:rsidRPr="008A445E" w:rsidRDefault="008544DD" w:rsidP="009A675E">
            <w:pPr>
              <w:pStyle w:val="Default"/>
              <w:spacing w:before="60" w:after="60"/>
              <w:jc w:val="both"/>
              <w:rPr>
                <w:rFonts w:ascii="Arial" w:hAnsi="Arial" w:cs="Arial"/>
                <w:sz w:val="22"/>
                <w:szCs w:val="22"/>
              </w:rPr>
            </w:pPr>
            <w:r w:rsidRPr="008544DD">
              <w:rPr>
                <w:rFonts w:ascii="Arial" w:hAnsi="Arial" w:cs="Arial"/>
                <w:sz w:val="22"/>
                <w:szCs w:val="22"/>
              </w:rPr>
              <w:t>In the document Annex 1 – Technical Specifications Ilijas, under the Item number 3.</w:t>
            </w:r>
            <w:r w:rsidR="00BF12D4" w:rsidRPr="008A445E">
              <w:rPr>
                <w:rFonts w:ascii="Arial" w:hAnsi="Arial" w:cs="Arial"/>
                <w:sz w:val="22"/>
                <w:szCs w:val="22"/>
              </w:rPr>
              <w:t xml:space="preserve"> Server Video Port and Power Supply Unit Specifications The tender specifications require servers to have 2x Display Ports and 2x Power Supply Units (PSUs). Our review indicates that current manufacturer models do not meet this exact combination. Available configurations include 2x Display Ports with 1x PSU, 1x VGA with 2x PSU, or the option to add a PCIe card with a DP port, which would occupy essential PCIe slots.</w:t>
            </w:r>
          </w:p>
          <w:p w14:paraId="4AD7192C" w14:textId="77777777" w:rsidR="00BF12D4" w:rsidRPr="008A445E" w:rsidRDefault="00BF12D4" w:rsidP="009A675E">
            <w:pPr>
              <w:pStyle w:val="Default"/>
              <w:spacing w:before="60" w:after="60"/>
              <w:jc w:val="both"/>
              <w:rPr>
                <w:rFonts w:ascii="Arial" w:hAnsi="Arial" w:cs="Arial"/>
                <w:sz w:val="22"/>
                <w:szCs w:val="22"/>
              </w:rPr>
            </w:pPr>
            <w:r w:rsidRPr="008A445E">
              <w:rPr>
                <w:rFonts w:ascii="Arial" w:hAnsi="Arial" w:cs="Arial"/>
                <w:sz w:val="22"/>
                <w:szCs w:val="22"/>
              </w:rPr>
              <w:lastRenderedPageBreak/>
              <w:t>Considering that the server's video port is primarily used for the management software's visual display, and the type of video port (VGA, DP, HDMI) does not impact this functionality, we propose to offer a server configuration with 1x VGA (and an optional VGA to DP dongle) and 2x PSU. This configuration would maintain the server's essential functionality without compromising on any critical aspect.</w:t>
            </w:r>
          </w:p>
          <w:p w14:paraId="755E03A5" w14:textId="38ED7CC9" w:rsidR="00BF12D4" w:rsidRPr="008A445E" w:rsidRDefault="00BF12D4" w:rsidP="009A675E">
            <w:pPr>
              <w:pStyle w:val="Default"/>
              <w:spacing w:before="60" w:after="60"/>
              <w:jc w:val="both"/>
              <w:rPr>
                <w:rFonts w:ascii="Arial" w:hAnsi="Arial" w:cs="Arial"/>
                <w:sz w:val="22"/>
                <w:szCs w:val="22"/>
              </w:rPr>
            </w:pPr>
            <w:r w:rsidRPr="008A445E">
              <w:rPr>
                <w:rFonts w:ascii="Arial" w:hAnsi="Arial" w:cs="Arial"/>
                <w:sz w:val="22"/>
                <w:szCs w:val="22"/>
              </w:rPr>
              <w:t>We believe these adjustments will enable us to provide the most efficient and cost-effective solution while adhering to the tender's overall objectives. Your guidance on these matters will be highly appreciated to ensure our proposal aligns with your requirements.</w:t>
            </w:r>
          </w:p>
        </w:tc>
      </w:tr>
      <w:tr w:rsidR="00BF12D4" w:rsidRPr="008A445E" w14:paraId="638ABB6F" w14:textId="77777777" w:rsidTr="009A675E">
        <w:tc>
          <w:tcPr>
            <w:tcW w:w="535" w:type="dxa"/>
            <w:vAlign w:val="center"/>
          </w:tcPr>
          <w:p w14:paraId="5970B7F8" w14:textId="626EC231" w:rsidR="00BF12D4" w:rsidRPr="008A445E" w:rsidRDefault="00BF12D4" w:rsidP="00BF12D4">
            <w:pPr>
              <w:pStyle w:val="Default"/>
              <w:spacing w:before="60" w:after="60"/>
              <w:jc w:val="center"/>
              <w:rPr>
                <w:rFonts w:ascii="Arial" w:hAnsi="Arial" w:cs="Arial"/>
                <w:sz w:val="22"/>
                <w:szCs w:val="22"/>
              </w:rPr>
            </w:pPr>
            <w:r w:rsidRPr="008A445E">
              <w:rPr>
                <w:rFonts w:ascii="Arial" w:hAnsi="Arial" w:cs="Arial"/>
                <w:sz w:val="22"/>
                <w:szCs w:val="22"/>
              </w:rPr>
              <w:lastRenderedPageBreak/>
              <w:t>A3</w:t>
            </w:r>
          </w:p>
        </w:tc>
        <w:tc>
          <w:tcPr>
            <w:tcW w:w="8481" w:type="dxa"/>
          </w:tcPr>
          <w:p w14:paraId="544E8680" w14:textId="668FC34E" w:rsidR="00BF12D4" w:rsidRPr="008A445E" w:rsidRDefault="008544DD" w:rsidP="009A675E">
            <w:pPr>
              <w:pStyle w:val="Default"/>
              <w:spacing w:before="60" w:after="60"/>
              <w:jc w:val="both"/>
              <w:rPr>
                <w:rFonts w:ascii="Arial" w:hAnsi="Arial" w:cs="Arial"/>
                <w:sz w:val="22"/>
                <w:szCs w:val="22"/>
              </w:rPr>
            </w:pPr>
            <w:r w:rsidRPr="007C50BC">
              <w:rPr>
                <w:rFonts w:ascii="Arial" w:hAnsi="Arial" w:cs="Arial"/>
                <w:sz w:val="22"/>
                <w:szCs w:val="22"/>
              </w:rPr>
              <w:t>The above slight modification to the specification is acceptable because it will not affect performance of the server in any way.</w:t>
            </w:r>
          </w:p>
        </w:tc>
      </w:tr>
    </w:tbl>
    <w:p w14:paraId="4F8A1F39" w14:textId="77777777" w:rsidR="00BF12D4" w:rsidRPr="008A445E" w:rsidRDefault="00BF12D4" w:rsidP="00EB2B0C">
      <w:pPr>
        <w:pStyle w:val="Default"/>
        <w:rPr>
          <w:rFonts w:ascii="Arial" w:hAnsi="Arial" w:cs="Arial"/>
          <w:sz w:val="22"/>
          <w:szCs w:val="22"/>
        </w:rPr>
      </w:pPr>
    </w:p>
    <w:p w14:paraId="2E170062" w14:textId="77777777" w:rsidR="00BF12D4" w:rsidRPr="008A445E" w:rsidRDefault="00BF12D4" w:rsidP="00EB2B0C">
      <w:pPr>
        <w:pStyle w:val="Default"/>
        <w:rPr>
          <w:rFonts w:ascii="Arial" w:hAnsi="Arial" w:cs="Arial"/>
          <w:sz w:val="22"/>
          <w:szCs w:val="22"/>
        </w:rPr>
      </w:pPr>
    </w:p>
    <w:p w14:paraId="34220122" w14:textId="77777777" w:rsidR="00BF12D4" w:rsidRPr="008A445E" w:rsidRDefault="00BF12D4" w:rsidP="00EB2B0C">
      <w:pPr>
        <w:pStyle w:val="Default"/>
        <w:rPr>
          <w:rFonts w:ascii="Arial" w:hAnsi="Arial" w:cs="Arial"/>
          <w:sz w:val="22"/>
          <w:szCs w:val="22"/>
        </w:rPr>
      </w:pPr>
    </w:p>
    <w:p w14:paraId="60909804" w14:textId="77777777" w:rsidR="00BF12D4" w:rsidRPr="008A445E" w:rsidRDefault="00BF12D4" w:rsidP="00EB2B0C">
      <w:pPr>
        <w:pStyle w:val="Default"/>
        <w:rPr>
          <w:rFonts w:ascii="Arial" w:hAnsi="Arial" w:cs="Arial"/>
          <w:sz w:val="22"/>
          <w:szCs w:val="22"/>
        </w:rPr>
      </w:pPr>
    </w:p>
    <w:p w14:paraId="1717238A" w14:textId="77777777" w:rsidR="009B09B5" w:rsidRPr="008A445E" w:rsidRDefault="009B09B5">
      <w:pPr>
        <w:rPr>
          <w:rFonts w:ascii="Arial" w:hAnsi="Arial" w:cs="Arial"/>
          <w:lang w:val="en-GB"/>
        </w:rPr>
      </w:pPr>
    </w:p>
    <w:sectPr w:rsidR="009B09B5" w:rsidRPr="008A445E" w:rsidSect="00B05D7D">
      <w:headerReference w:type="default" r:id="rId7"/>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9B06" w14:textId="77777777" w:rsidR="00CC4E56" w:rsidRDefault="00CC4E56" w:rsidP="006A2C75">
      <w:pPr>
        <w:spacing w:after="0" w:line="240" w:lineRule="auto"/>
      </w:pPr>
      <w:r>
        <w:separator/>
      </w:r>
    </w:p>
  </w:endnote>
  <w:endnote w:type="continuationSeparator" w:id="0">
    <w:p w14:paraId="5C7BF5E4" w14:textId="77777777" w:rsidR="00CC4E56" w:rsidRDefault="00CC4E56" w:rsidP="006A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10902"/>
      <w:docPartObj>
        <w:docPartGallery w:val="Page Numbers (Bottom of Page)"/>
        <w:docPartUnique/>
      </w:docPartObj>
    </w:sdtPr>
    <w:sdtEndPr>
      <w:rPr>
        <w:noProof/>
      </w:rPr>
    </w:sdtEndPr>
    <w:sdtContent>
      <w:p w14:paraId="4BEFE5E5" w14:textId="11211A8A" w:rsidR="00BA5593" w:rsidRDefault="00BA55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C01827" w14:textId="77777777" w:rsidR="00BA5593" w:rsidRDefault="00BA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1826" w14:textId="77777777" w:rsidR="00CC4E56" w:rsidRDefault="00CC4E56" w:rsidP="006A2C75">
      <w:pPr>
        <w:spacing w:after="0" w:line="240" w:lineRule="auto"/>
      </w:pPr>
      <w:r>
        <w:separator/>
      </w:r>
    </w:p>
  </w:footnote>
  <w:footnote w:type="continuationSeparator" w:id="0">
    <w:p w14:paraId="34F4481E" w14:textId="77777777" w:rsidR="00CC4E56" w:rsidRDefault="00CC4E56" w:rsidP="006A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9115" w14:textId="77777777" w:rsidR="006A2C75" w:rsidRPr="00DA6AF9" w:rsidRDefault="006A2C75" w:rsidP="006A2C75">
    <w:pPr>
      <w:jc w:val="center"/>
      <w:rPr>
        <w:sz w:val="20"/>
      </w:rPr>
    </w:pPr>
    <w:r w:rsidRPr="001123A7">
      <w:rPr>
        <w:b/>
        <w:color w:val="173254"/>
        <w:sz w:val="36"/>
      </w:rPr>
      <w:t>WB6 Regional</w:t>
    </w:r>
    <w:r>
      <w:rPr>
        <w:b/>
        <w:color w:val="173254"/>
        <w:sz w:val="36"/>
      </w:rPr>
      <w:t xml:space="preserve"> </w:t>
    </w:r>
    <w:r w:rsidRPr="001123A7">
      <w:rPr>
        <w:b/>
        <w:color w:val="173254"/>
        <w:sz w:val="36"/>
      </w:rPr>
      <w:t>Challenge</w:t>
    </w:r>
    <w:r>
      <w:rPr>
        <w:b/>
        <w:color w:val="173254"/>
        <w:sz w:val="36"/>
      </w:rPr>
      <w:t xml:space="preserve"> </w:t>
    </w:r>
    <w:r w:rsidRPr="001123A7">
      <w:rPr>
        <w:b/>
        <w:color w:val="173254"/>
        <w:sz w:val="36"/>
      </w:rPr>
      <w:t>Fund</w:t>
    </w:r>
    <w:r w:rsidRPr="00DA6AF9">
      <w:rPr>
        <w:noProof/>
        <w:color w:val="173254"/>
        <w:position w:val="-37"/>
        <w:sz w:val="36"/>
      </w:rPr>
      <w:drawing>
        <wp:inline distT="0" distB="0" distL="0" distR="0" wp14:anchorId="0CEE9A57" wp14:editId="38A3A890">
          <wp:extent cx="1722120" cy="533400"/>
          <wp:effectExtent l="0" t="0" r="0" b="0"/>
          <wp:docPr id="2145037288" name="Picture 214503728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37288" name="Picture 214503728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33400"/>
                  </a:xfrm>
                  <a:prstGeom prst="rect">
                    <a:avLst/>
                  </a:prstGeom>
                  <a:noFill/>
                  <a:ln>
                    <a:noFill/>
                  </a:ln>
                </pic:spPr>
              </pic:pic>
            </a:graphicData>
          </a:graphic>
        </wp:inline>
      </w:drawing>
    </w:r>
  </w:p>
  <w:p w14:paraId="508FD3AC" w14:textId="77777777" w:rsidR="006A2C75" w:rsidRDefault="006A2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9C"/>
    <w:rsid w:val="00004F18"/>
    <w:rsid w:val="000268E7"/>
    <w:rsid w:val="00034E93"/>
    <w:rsid w:val="000514E9"/>
    <w:rsid w:val="00051EE5"/>
    <w:rsid w:val="000626AB"/>
    <w:rsid w:val="00071CE9"/>
    <w:rsid w:val="000A7E50"/>
    <w:rsid w:val="000B6500"/>
    <w:rsid w:val="000D75D0"/>
    <w:rsid w:val="000E7C88"/>
    <w:rsid w:val="001076D5"/>
    <w:rsid w:val="001176BF"/>
    <w:rsid w:val="00171C67"/>
    <w:rsid w:val="001930A4"/>
    <w:rsid w:val="001A241D"/>
    <w:rsid w:val="001A733B"/>
    <w:rsid w:val="001C401E"/>
    <w:rsid w:val="001D2E96"/>
    <w:rsid w:val="001F4128"/>
    <w:rsid w:val="001F4AF4"/>
    <w:rsid w:val="002126B9"/>
    <w:rsid w:val="00217C06"/>
    <w:rsid w:val="002344A9"/>
    <w:rsid w:val="00247F0A"/>
    <w:rsid w:val="002525E0"/>
    <w:rsid w:val="00265E8D"/>
    <w:rsid w:val="00273397"/>
    <w:rsid w:val="002C6BAD"/>
    <w:rsid w:val="002D07C9"/>
    <w:rsid w:val="002D6F28"/>
    <w:rsid w:val="002E3988"/>
    <w:rsid w:val="00320FFD"/>
    <w:rsid w:val="0034734D"/>
    <w:rsid w:val="00347FAE"/>
    <w:rsid w:val="003553BA"/>
    <w:rsid w:val="00392072"/>
    <w:rsid w:val="00394CFD"/>
    <w:rsid w:val="003C52D6"/>
    <w:rsid w:val="003C730C"/>
    <w:rsid w:val="003D2F20"/>
    <w:rsid w:val="003E12A2"/>
    <w:rsid w:val="003E2B88"/>
    <w:rsid w:val="003E6ABA"/>
    <w:rsid w:val="003E6EB5"/>
    <w:rsid w:val="004038F4"/>
    <w:rsid w:val="004167A1"/>
    <w:rsid w:val="004246FC"/>
    <w:rsid w:val="00443FAA"/>
    <w:rsid w:val="00444F90"/>
    <w:rsid w:val="00453C1B"/>
    <w:rsid w:val="004636FB"/>
    <w:rsid w:val="00484C80"/>
    <w:rsid w:val="00492882"/>
    <w:rsid w:val="00496F2B"/>
    <w:rsid w:val="00497CA9"/>
    <w:rsid w:val="004B2CA6"/>
    <w:rsid w:val="004C10DD"/>
    <w:rsid w:val="004D5D73"/>
    <w:rsid w:val="004E52F8"/>
    <w:rsid w:val="004E5CB5"/>
    <w:rsid w:val="00500D03"/>
    <w:rsid w:val="005067AF"/>
    <w:rsid w:val="00506C39"/>
    <w:rsid w:val="00511E1D"/>
    <w:rsid w:val="00521CF1"/>
    <w:rsid w:val="00527E9C"/>
    <w:rsid w:val="00554544"/>
    <w:rsid w:val="0056045F"/>
    <w:rsid w:val="00564E97"/>
    <w:rsid w:val="00581CCF"/>
    <w:rsid w:val="00582576"/>
    <w:rsid w:val="00583F3E"/>
    <w:rsid w:val="00585889"/>
    <w:rsid w:val="005867A3"/>
    <w:rsid w:val="00587828"/>
    <w:rsid w:val="005B2438"/>
    <w:rsid w:val="005C153E"/>
    <w:rsid w:val="005E1425"/>
    <w:rsid w:val="005E5AAC"/>
    <w:rsid w:val="005F1956"/>
    <w:rsid w:val="006116F8"/>
    <w:rsid w:val="00623CAF"/>
    <w:rsid w:val="00630977"/>
    <w:rsid w:val="00643954"/>
    <w:rsid w:val="006453B2"/>
    <w:rsid w:val="006468A7"/>
    <w:rsid w:val="00673CEF"/>
    <w:rsid w:val="00681B2A"/>
    <w:rsid w:val="006850FC"/>
    <w:rsid w:val="006858BA"/>
    <w:rsid w:val="0068620D"/>
    <w:rsid w:val="006943AE"/>
    <w:rsid w:val="006A2C14"/>
    <w:rsid w:val="006A2C75"/>
    <w:rsid w:val="006A3695"/>
    <w:rsid w:val="006B1135"/>
    <w:rsid w:val="006C0C0E"/>
    <w:rsid w:val="006D6893"/>
    <w:rsid w:val="006E28B5"/>
    <w:rsid w:val="007223C6"/>
    <w:rsid w:val="00726BA3"/>
    <w:rsid w:val="00747A63"/>
    <w:rsid w:val="00754EFC"/>
    <w:rsid w:val="0078664E"/>
    <w:rsid w:val="00796799"/>
    <w:rsid w:val="007A4D9A"/>
    <w:rsid w:val="007C50BC"/>
    <w:rsid w:val="007D5B86"/>
    <w:rsid w:val="007E2A3D"/>
    <w:rsid w:val="007F235C"/>
    <w:rsid w:val="00821B00"/>
    <w:rsid w:val="008337B4"/>
    <w:rsid w:val="008436A6"/>
    <w:rsid w:val="00846415"/>
    <w:rsid w:val="008544DD"/>
    <w:rsid w:val="00866000"/>
    <w:rsid w:val="0088046B"/>
    <w:rsid w:val="00881ADF"/>
    <w:rsid w:val="00887652"/>
    <w:rsid w:val="008A445E"/>
    <w:rsid w:val="008A5359"/>
    <w:rsid w:val="008B5EDC"/>
    <w:rsid w:val="008C4A4E"/>
    <w:rsid w:val="00906B95"/>
    <w:rsid w:val="00911BC4"/>
    <w:rsid w:val="009229F8"/>
    <w:rsid w:val="0092488B"/>
    <w:rsid w:val="009269CB"/>
    <w:rsid w:val="0093504D"/>
    <w:rsid w:val="009520ED"/>
    <w:rsid w:val="00981220"/>
    <w:rsid w:val="009812B5"/>
    <w:rsid w:val="00987457"/>
    <w:rsid w:val="009A675E"/>
    <w:rsid w:val="009B09B5"/>
    <w:rsid w:val="009C0497"/>
    <w:rsid w:val="009C3700"/>
    <w:rsid w:val="009D502E"/>
    <w:rsid w:val="009E66B8"/>
    <w:rsid w:val="00A0135C"/>
    <w:rsid w:val="00A125B8"/>
    <w:rsid w:val="00A15DFF"/>
    <w:rsid w:val="00A3270A"/>
    <w:rsid w:val="00A359B4"/>
    <w:rsid w:val="00A409DC"/>
    <w:rsid w:val="00A433B8"/>
    <w:rsid w:val="00A62B9C"/>
    <w:rsid w:val="00A7542B"/>
    <w:rsid w:val="00A85C27"/>
    <w:rsid w:val="00A866BB"/>
    <w:rsid w:val="00A934B5"/>
    <w:rsid w:val="00AA0D7C"/>
    <w:rsid w:val="00AB0744"/>
    <w:rsid w:val="00AB39BF"/>
    <w:rsid w:val="00AD44EA"/>
    <w:rsid w:val="00AE1D40"/>
    <w:rsid w:val="00AF4C68"/>
    <w:rsid w:val="00AF7179"/>
    <w:rsid w:val="00B05D7D"/>
    <w:rsid w:val="00B330F8"/>
    <w:rsid w:val="00B51746"/>
    <w:rsid w:val="00B67487"/>
    <w:rsid w:val="00B81346"/>
    <w:rsid w:val="00B850A8"/>
    <w:rsid w:val="00B91386"/>
    <w:rsid w:val="00B9377D"/>
    <w:rsid w:val="00BA3E9C"/>
    <w:rsid w:val="00BA5593"/>
    <w:rsid w:val="00BC0321"/>
    <w:rsid w:val="00BF12D4"/>
    <w:rsid w:val="00C1327A"/>
    <w:rsid w:val="00C3382C"/>
    <w:rsid w:val="00C50F58"/>
    <w:rsid w:val="00C7622F"/>
    <w:rsid w:val="00C84B05"/>
    <w:rsid w:val="00C87504"/>
    <w:rsid w:val="00CA6293"/>
    <w:rsid w:val="00CA694C"/>
    <w:rsid w:val="00CB0FEE"/>
    <w:rsid w:val="00CB4656"/>
    <w:rsid w:val="00CC4E56"/>
    <w:rsid w:val="00CC5B3D"/>
    <w:rsid w:val="00CF03EE"/>
    <w:rsid w:val="00CF55CA"/>
    <w:rsid w:val="00D042F2"/>
    <w:rsid w:val="00D4428E"/>
    <w:rsid w:val="00D80A9B"/>
    <w:rsid w:val="00DA72BE"/>
    <w:rsid w:val="00DB6656"/>
    <w:rsid w:val="00DB6FF0"/>
    <w:rsid w:val="00DC2505"/>
    <w:rsid w:val="00DD3BF4"/>
    <w:rsid w:val="00E27020"/>
    <w:rsid w:val="00E3168C"/>
    <w:rsid w:val="00E451D3"/>
    <w:rsid w:val="00E613D5"/>
    <w:rsid w:val="00E660CF"/>
    <w:rsid w:val="00E73F52"/>
    <w:rsid w:val="00E8595D"/>
    <w:rsid w:val="00E9044F"/>
    <w:rsid w:val="00EA0EDD"/>
    <w:rsid w:val="00EB0DB3"/>
    <w:rsid w:val="00EB0FC6"/>
    <w:rsid w:val="00EB2B0C"/>
    <w:rsid w:val="00EB3FAC"/>
    <w:rsid w:val="00EC6F18"/>
    <w:rsid w:val="00EF2976"/>
    <w:rsid w:val="00F05541"/>
    <w:rsid w:val="00F106A4"/>
    <w:rsid w:val="00F13897"/>
    <w:rsid w:val="00F14540"/>
    <w:rsid w:val="00F243C1"/>
    <w:rsid w:val="00F50247"/>
    <w:rsid w:val="00F63DE2"/>
    <w:rsid w:val="00F7573E"/>
    <w:rsid w:val="00F82FB9"/>
    <w:rsid w:val="00F8385A"/>
    <w:rsid w:val="00F84540"/>
    <w:rsid w:val="00FF2D23"/>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A8D7"/>
  <w15:chartTrackingRefBased/>
  <w15:docId w15:val="{A1EC2FB2-5A9D-4512-9740-E159FD7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B2"/>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453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6453B2"/>
    <w:rPr>
      <w:color w:val="0000FF"/>
      <w:u w:val="single"/>
    </w:rPr>
  </w:style>
  <w:style w:type="character" w:customStyle="1" w:styleId="DefaultChar">
    <w:name w:val="Default Char"/>
    <w:link w:val="Default"/>
    <w:rsid w:val="006453B2"/>
    <w:rPr>
      <w:rFonts w:ascii="Times New Roman" w:eastAsia="Calibri" w:hAnsi="Times New Roman" w:cs="Times New Roman"/>
      <w:color w:val="000000"/>
      <w:sz w:val="24"/>
      <w:szCs w:val="24"/>
    </w:rPr>
  </w:style>
  <w:style w:type="paragraph" w:customStyle="1" w:styleId="Blockquote">
    <w:name w:val="Blockquote"/>
    <w:basedOn w:val="Normal"/>
    <w:rsid w:val="006453B2"/>
    <w:pPr>
      <w:widowControl w:val="0"/>
      <w:spacing w:before="100" w:after="100" w:line="240" w:lineRule="auto"/>
      <w:ind w:left="360" w:right="360"/>
    </w:pPr>
    <w:rPr>
      <w:rFonts w:ascii="Times New Roman" w:hAnsi="Times New Roman"/>
      <w:snapToGrid w:val="0"/>
      <w:sz w:val="24"/>
      <w:szCs w:val="20"/>
    </w:rPr>
  </w:style>
  <w:style w:type="paragraph" w:styleId="PlainText">
    <w:name w:val="Plain Text"/>
    <w:basedOn w:val="Normal"/>
    <w:link w:val="PlainTextChar"/>
    <w:uiPriority w:val="99"/>
    <w:unhideWhenUsed/>
    <w:rsid w:val="006453B2"/>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6453B2"/>
    <w:rPr>
      <w:rFonts w:ascii="Consolas" w:eastAsia="Calibri" w:hAnsi="Consolas" w:cs="Times New Roman"/>
      <w:sz w:val="21"/>
      <w:szCs w:val="21"/>
      <w:lang w:val="en-US"/>
    </w:rPr>
  </w:style>
  <w:style w:type="character" w:styleId="UnresolvedMention">
    <w:name w:val="Unresolved Mention"/>
    <w:basedOn w:val="DefaultParagraphFont"/>
    <w:uiPriority w:val="99"/>
    <w:semiHidden/>
    <w:unhideWhenUsed/>
    <w:rsid w:val="00A15DFF"/>
    <w:rPr>
      <w:color w:val="605E5C"/>
      <w:shd w:val="clear" w:color="auto" w:fill="E1DFDD"/>
    </w:rPr>
  </w:style>
  <w:style w:type="paragraph" w:styleId="Header">
    <w:name w:val="header"/>
    <w:basedOn w:val="Normal"/>
    <w:link w:val="HeaderChar"/>
    <w:uiPriority w:val="99"/>
    <w:unhideWhenUsed/>
    <w:rsid w:val="006A2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75"/>
    <w:rPr>
      <w:rFonts w:ascii="Calibri" w:eastAsia="Times New Roman" w:hAnsi="Calibri" w:cs="Times New Roman"/>
      <w:lang w:val="en-US"/>
    </w:rPr>
  </w:style>
  <w:style w:type="paragraph" w:styleId="Footer">
    <w:name w:val="footer"/>
    <w:basedOn w:val="Normal"/>
    <w:link w:val="FooterChar"/>
    <w:uiPriority w:val="99"/>
    <w:unhideWhenUsed/>
    <w:rsid w:val="006A2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75"/>
    <w:rPr>
      <w:rFonts w:ascii="Calibri" w:eastAsia="Times New Roman" w:hAnsi="Calibri" w:cs="Times New Roman"/>
      <w:lang w:val="en-US"/>
    </w:rPr>
  </w:style>
  <w:style w:type="character" w:styleId="Emphasis">
    <w:name w:val="Emphasis"/>
    <w:qFormat/>
    <w:rsid w:val="00F50247"/>
    <w:rPr>
      <w:i/>
    </w:rPr>
  </w:style>
  <w:style w:type="table" w:styleId="TableGrid">
    <w:name w:val="Table Grid"/>
    <w:basedOn w:val="TableNormal"/>
    <w:uiPriority w:val="39"/>
    <w:rsid w:val="00BF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Section">
    <w:name w:val="Titre Section"/>
    <w:rsid w:val="008544DD"/>
    <w:rPr>
      <w:rFonts w:ascii="Times New Roman" w:hAnsi="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281">
      <w:bodyDiv w:val="1"/>
      <w:marLeft w:val="0"/>
      <w:marRight w:val="0"/>
      <w:marTop w:val="0"/>
      <w:marBottom w:val="0"/>
      <w:divBdr>
        <w:top w:val="none" w:sz="0" w:space="0" w:color="auto"/>
        <w:left w:val="none" w:sz="0" w:space="0" w:color="auto"/>
        <w:bottom w:val="none" w:sz="0" w:space="0" w:color="auto"/>
        <w:right w:val="none" w:sz="0" w:space="0" w:color="auto"/>
      </w:divBdr>
    </w:div>
    <w:div w:id="969288938">
      <w:bodyDiv w:val="1"/>
      <w:marLeft w:val="0"/>
      <w:marRight w:val="0"/>
      <w:marTop w:val="0"/>
      <w:marBottom w:val="0"/>
      <w:divBdr>
        <w:top w:val="none" w:sz="0" w:space="0" w:color="auto"/>
        <w:left w:val="none" w:sz="0" w:space="0" w:color="auto"/>
        <w:bottom w:val="none" w:sz="0" w:space="0" w:color="auto"/>
        <w:right w:val="none" w:sz="0" w:space="0" w:color="auto"/>
      </w:divBdr>
    </w:div>
    <w:div w:id="1188250965">
      <w:bodyDiv w:val="1"/>
      <w:marLeft w:val="0"/>
      <w:marRight w:val="0"/>
      <w:marTop w:val="0"/>
      <w:marBottom w:val="0"/>
      <w:divBdr>
        <w:top w:val="none" w:sz="0" w:space="0" w:color="auto"/>
        <w:left w:val="none" w:sz="0" w:space="0" w:color="auto"/>
        <w:bottom w:val="none" w:sz="0" w:space="0" w:color="auto"/>
        <w:right w:val="none" w:sz="0" w:space="0" w:color="auto"/>
      </w:divBdr>
    </w:div>
    <w:div w:id="16346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urement@rcf-wb6.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Vjera Vujanovic</dc:creator>
  <cp:keywords/>
  <dc:description/>
  <cp:lastModifiedBy>Darko Zivaljevic</cp:lastModifiedBy>
  <cp:revision>205</cp:revision>
  <dcterms:created xsi:type="dcterms:W3CDTF">2023-04-04T18:34:00Z</dcterms:created>
  <dcterms:modified xsi:type="dcterms:W3CDTF">2023-11-22T07:40:00Z</dcterms:modified>
</cp:coreProperties>
</file>